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Surahammar kommunfullmäktige</w:t>
      </w:r>
    </w:p>
    <w:p>
      <w:pPr>
        <w:pStyle w:val="Heading1"/>
      </w:pPr>
      <w:r>
        <w:t xml:space="preserve">Bredband till alla landsbygdsområden i Surahammar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Surahammar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Enligt PTS 2025 saknar cirka 25 % av hushållen på landsbygden fiber eller snabb uppkoppling. Detta hindrar distansarbete, företagsetablering och digital service. Surahammar ligger efter rikssnittet och många familjer i Ramnäs och Virsbo drabbas. Centerpartiet vill prioritera utbyggnad för hela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Surahammar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bredbandsstrategin med mål om 100 % täckning senast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2,5 mnkr per år 2027–2029 för samfinansiering med PTS och operatörer.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områdena Ramnäs och Virsbo i nästa upphandling.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täckningsgrad till kommunfullmäktige.</w:t>
      </w:r>
    </w:p>
    <w:p>
      <w:pPr>
        <w:spacing w:before="360"/>
      </w:pPr>
    </w:p>
    <w:p>
      <w:r>
        <w:t xml:space="preserve">Surahammar,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Surahammar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2026-07-14T01:24:19.821Z</dcterms:created>
  <dcterms:modified xsi:type="dcterms:W3CDTF">2026-07-14T01:24:19.821Z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